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sz w:val="31"/>
          <w:szCs w:val="31"/>
          <w:u w:val="single"/>
          <w:vertAlign w:val="baseline"/>
        </w:rPr>
      </w:pPr>
      <w:r w:rsidDel="00000000" w:rsidR="00000000" w:rsidRPr="00000000">
        <w:rPr>
          <w:rFonts w:ascii="Arial" w:cs="Arial" w:eastAsia="Arial" w:hAnsi="Arial"/>
          <w:b w:val="1"/>
          <w:sz w:val="31"/>
          <w:szCs w:val="31"/>
          <w:u w:val="single"/>
          <w:vertAlign w:val="baseline"/>
          <w:rtl w:val="0"/>
        </w:rPr>
        <w:t xml:space="preserve">KNOCK CHRISTIAN CENTRE – HEALTH AND SAFETY ASSESSMENT FORM</w:t>
      </w: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Dun Fell Christian Trust have assessed the risks associated with the facilities we hire to user groups. It is the responsibility of group  leaders to assess and minimise the risks of any activities their groups carry out as part of their programme. </w:t>
      </w:r>
    </w:p>
    <w:p w:rsidR="00000000" w:rsidDel="00000000" w:rsidP="00000000" w:rsidRDefault="00000000" w:rsidRPr="00000000" w14:paraId="00000005">
      <w:pPr>
        <w:jc w:val="center"/>
        <w:rPr>
          <w:rFonts w:ascii="Arial" w:cs="Arial" w:eastAsia="Arial" w:hAnsi="Arial"/>
          <w:sz w:val="31"/>
          <w:szCs w:val="31"/>
          <w:vertAlign w:val="baseline"/>
        </w:rPr>
      </w:pPr>
      <w:r w:rsidDel="00000000" w:rsidR="00000000" w:rsidRPr="00000000">
        <w:rPr>
          <w:rtl w:val="0"/>
        </w:rPr>
      </w:r>
    </w:p>
    <w:tbl>
      <w:tblPr>
        <w:tblStyle w:val="Table1"/>
        <w:tblW w:w="140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1"/>
        <w:gridCol w:w="2564"/>
        <w:gridCol w:w="2160"/>
        <w:gridCol w:w="2351"/>
        <w:tblGridChange w:id="0">
          <w:tblGrid>
            <w:gridCol w:w="6981"/>
            <w:gridCol w:w="2564"/>
            <w:gridCol w:w="2160"/>
            <w:gridCol w:w="2351"/>
          </w:tblGrid>
        </w:tblGridChange>
      </w:tblGrid>
      <w:tr>
        <w:trPr>
          <w:cantSplit w:val="0"/>
          <w:tblHeader w:val="0"/>
        </w:trPr>
        <w:tc>
          <w:tcPr>
            <w:vAlign w:val="top"/>
          </w:tcPr>
          <w:p w:rsidR="00000000" w:rsidDel="00000000" w:rsidP="00000000" w:rsidRDefault="00000000" w:rsidRPr="00000000" w14:paraId="00000006">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RISK ASSESSMENT FOR:</w:t>
            </w:r>
          </w:p>
          <w:p w:rsidR="00000000" w:rsidDel="00000000" w:rsidP="00000000" w:rsidRDefault="00000000" w:rsidRPr="00000000" w14:paraId="00000007">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Bathrooms / water supply</w:t>
            </w:r>
          </w:p>
          <w:p w:rsidR="00000000" w:rsidDel="00000000" w:rsidP="00000000" w:rsidRDefault="00000000" w:rsidRPr="00000000" w14:paraId="00000008">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NAME:</w:t>
            </w:r>
          </w:p>
          <w:p w:rsidR="00000000" w:rsidDel="00000000" w:rsidP="00000000" w:rsidRDefault="00000000" w:rsidRPr="00000000" w14:paraId="0000000A">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Phil Wildsmith</w:t>
            </w:r>
          </w:p>
        </w:tc>
        <w:tc>
          <w:tcPr>
            <w:vAlign w:val="top"/>
          </w:tcPr>
          <w:p w:rsidR="00000000" w:rsidDel="00000000" w:rsidP="00000000" w:rsidRDefault="00000000" w:rsidRPr="00000000" w14:paraId="0000000B">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DATE:</w:t>
            </w:r>
          </w:p>
          <w:p w:rsidR="00000000" w:rsidDel="00000000" w:rsidP="00000000" w:rsidRDefault="00000000" w:rsidRPr="00000000" w14:paraId="0000000C">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07/01/2023</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REVIEW DATE:</w:t>
            </w:r>
          </w:p>
          <w:p w:rsidR="00000000" w:rsidDel="00000000" w:rsidP="00000000" w:rsidRDefault="00000000" w:rsidRPr="00000000" w14:paraId="0000000E">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07/01/2024</w:t>
            </w:r>
            <w:r w:rsidDel="00000000" w:rsidR="00000000" w:rsidRPr="00000000">
              <w:rPr>
                <w:rtl w:val="0"/>
              </w:rPr>
            </w:r>
          </w:p>
        </w:tc>
      </w:tr>
    </w:tbl>
    <w:p w:rsidR="00000000" w:rsidDel="00000000" w:rsidP="00000000" w:rsidRDefault="00000000" w:rsidRPr="00000000" w14:paraId="0000000F">
      <w:pPr>
        <w:rPr>
          <w:rFonts w:ascii="Arial" w:cs="Arial" w:eastAsia="Arial" w:hAnsi="Arial"/>
          <w:sz w:val="31"/>
          <w:szCs w:val="31"/>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bl>
      <w:tblPr>
        <w:tblStyle w:val="Table2"/>
        <w:tblW w:w="15572.0" w:type="dxa"/>
        <w:jc w:val="left"/>
        <w:tblInd w:w="-851.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66"/>
        <w:gridCol w:w="7241"/>
        <w:gridCol w:w="5365"/>
        <w:tblGridChange w:id="0">
          <w:tblGrid>
            <w:gridCol w:w="2966"/>
            <w:gridCol w:w="7241"/>
            <w:gridCol w:w="5365"/>
          </w:tblGrid>
        </w:tblGridChange>
      </w:tblGrid>
      <w:tr>
        <w:trPr>
          <w:cantSplit w:val="0"/>
          <w:trHeight w:val="419" w:hRule="atLeast"/>
          <w:tblHeader w:val="0"/>
        </w:trPr>
        <w:tc>
          <w:tcPr>
            <w:tcBorders>
              <w:left w:color="000000" w:space="0" w:sz="4" w:val="single"/>
            </w:tcBorders>
            <w:vAlign w:val="top"/>
          </w:tcPr>
          <w:p w:rsidR="00000000" w:rsidDel="00000000" w:rsidP="00000000" w:rsidRDefault="00000000" w:rsidRPr="00000000" w14:paraId="00000011">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POTENTIAL HAZARDS:</w:t>
            </w: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WHAT IS IN PLACE TO MINIMISE THE RISK ALREADY?</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3">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FURTHER ACTION REQUIRED TO MINIMISE RISK (if necessary)</w:t>
            </w:r>
            <w:r w:rsidDel="00000000" w:rsidR="00000000" w:rsidRPr="00000000">
              <w:rPr>
                <w:rtl w:val="0"/>
              </w:rPr>
            </w:r>
          </w:p>
        </w:tc>
      </w:tr>
      <w:tr>
        <w:trPr>
          <w:cantSplit w:val="0"/>
          <w:trHeight w:val="2337" w:hRule="atLeast"/>
          <w:tblHeader w:val="0"/>
        </w:trPr>
        <w:tc>
          <w:tcPr>
            <w:tcBorders>
              <w:left w:color="000000" w:space="0" w:sz="4" w:val="single"/>
            </w:tcBorders>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Cleaning chemicals</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Fonts w:ascii="Arial" w:cs="Arial" w:eastAsia="Arial" w:hAnsi="Arial"/>
                <w:vertAlign w:val="baseline"/>
                <w:rtl w:val="0"/>
              </w:rPr>
              <w:t xml:space="preserve">Showers  / toilets</w:t>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9">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Stored in separate cupboard with no entry sign</w:t>
            </w:r>
          </w:p>
          <w:p w:rsidR="00000000" w:rsidDel="00000000" w:rsidP="00000000" w:rsidRDefault="00000000" w:rsidRPr="00000000" w14:paraId="0000001A">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Anti-scald valves fitted</w:t>
            </w:r>
          </w:p>
          <w:p w:rsidR="00000000" w:rsidDel="00000000" w:rsidP="00000000" w:rsidRDefault="00000000" w:rsidRPr="00000000" w14:paraId="0000001D">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Hand sanitiser provided</w:t>
            </w:r>
          </w:p>
          <w:p w:rsidR="00000000" w:rsidDel="00000000" w:rsidP="00000000" w:rsidRDefault="00000000" w:rsidRPr="00000000" w14:paraId="0000001E">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Regular hot run of showers during low occupancy periods to mitigate risk of </w:t>
            </w:r>
            <w:r w:rsidDel="00000000" w:rsidR="00000000" w:rsidRPr="00000000">
              <w:rPr>
                <w:rFonts w:ascii="Arial" w:cs="Arial" w:eastAsia="Arial" w:hAnsi="Arial"/>
                <w:i w:val="1"/>
                <w:vertAlign w:val="baseline"/>
                <w:rtl w:val="0"/>
              </w:rPr>
              <w:t xml:space="preserve">Legionella</w:t>
            </w:r>
            <w:r w:rsidDel="00000000" w:rsidR="00000000" w:rsidRPr="00000000">
              <w:rPr>
                <w:rFonts w:ascii="Arial" w:cs="Arial" w:eastAsia="Arial" w:hAnsi="Arial"/>
                <w:vertAlign w:val="baseline"/>
                <w:rtl w:val="0"/>
              </w:rPr>
              <w:t xml:space="preserve"> contamination</w:t>
            </w:r>
          </w:p>
          <w:p w:rsidR="00000000" w:rsidDel="00000000" w:rsidP="00000000" w:rsidRDefault="00000000" w:rsidRPr="00000000" w14:paraId="0000001F">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Anti-slip flooring fitted in all refurbished bathrooms </w:t>
            </w:r>
          </w:p>
        </w:tc>
        <w:tc>
          <w:tcPr>
            <w:tcBorders>
              <w:right w:color="000000" w:space="0" w:sz="4" w:val="single"/>
            </w:tcBorders>
            <w:vAlign w:val="top"/>
          </w:tcPr>
          <w:p w:rsidR="00000000" w:rsidDel="00000000" w:rsidP="00000000" w:rsidRDefault="00000000" w:rsidRPr="00000000" w14:paraId="00000020">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only group leaders have access</w:t>
            </w:r>
          </w:p>
          <w:p w:rsidR="00000000" w:rsidDel="00000000" w:rsidP="00000000" w:rsidRDefault="00000000" w:rsidRPr="00000000" w14:paraId="00000021">
            <w:pPr>
              <w:ind w:left="10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Ensure adequate supplies of soap / sanitiser</w:t>
            </w:r>
          </w:p>
          <w:p w:rsidR="00000000" w:rsidDel="00000000" w:rsidP="00000000" w:rsidRDefault="00000000" w:rsidRPr="00000000" w14:paraId="00000023">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Records kept of anti </w:t>
            </w:r>
            <w:r w:rsidDel="00000000" w:rsidR="00000000" w:rsidRPr="00000000">
              <w:rPr>
                <w:rFonts w:ascii="Arial" w:cs="Arial" w:eastAsia="Arial" w:hAnsi="Arial"/>
                <w:i w:val="1"/>
                <w:vertAlign w:val="baseline"/>
                <w:rtl w:val="0"/>
              </w:rPr>
              <w:t xml:space="preserve">Legionella</w:t>
            </w:r>
            <w:r w:rsidDel="00000000" w:rsidR="00000000" w:rsidRPr="00000000">
              <w:rPr>
                <w:rFonts w:ascii="Arial" w:cs="Arial" w:eastAsia="Arial" w:hAnsi="Arial"/>
                <w:vertAlign w:val="baseline"/>
                <w:rtl w:val="0"/>
              </w:rPr>
              <w:t xml:space="preserve"> protocol</w:t>
            </w:r>
          </w:p>
          <w:p w:rsidR="00000000" w:rsidDel="00000000" w:rsidP="00000000" w:rsidRDefault="00000000" w:rsidRPr="00000000" w14:paraId="00000024">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Flooring inspected and renewed where needed</w:t>
            </w:r>
          </w:p>
          <w:p w:rsidR="00000000" w:rsidDel="00000000" w:rsidP="00000000" w:rsidRDefault="00000000" w:rsidRPr="00000000" w14:paraId="00000025">
            <w:pPr>
              <w:numPr>
                <w:ilvl w:val="0"/>
                <w:numId w:val="1"/>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Further bathroom upgrades planned for 2018</w:t>
            </w:r>
          </w:p>
        </w:tc>
      </w:tr>
      <w:tr>
        <w:trPr>
          <w:cantSplit w:val="0"/>
          <w:trHeight w:val="215" w:hRule="atLeast"/>
          <w:tblHeader w:val="0"/>
        </w:trPr>
        <w:tc>
          <w:tcPr>
            <w:gridSpan w:val="3"/>
            <w:tcBorders>
              <w:bottom w:color="000000" w:space="0" w:sz="4" w:val="single"/>
            </w:tcBorders>
            <w:vAlign w:val="top"/>
          </w:tcPr>
          <w:p w:rsidR="00000000" w:rsidDel="00000000" w:rsidP="00000000" w:rsidRDefault="00000000" w:rsidRPr="00000000" w14:paraId="00000026">
            <w:pPr>
              <w:rP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sectPr>
      <w:footerReference r:id="rId7" w:type="default"/>
      <w:pgSz w:h="11909" w:w="16834" w:orient="landscape"/>
      <w:pgMar w:bottom="964" w:top="96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K:\.windows_settings\Temporary Internet Files\OLK51\HEALTH  SAFETY ASSESSMENT FORM Nov 08.doc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3"/>
      <w:szCs w:val="23"/>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bCs w:val="1"/>
      <w:w w:val="100"/>
      <w:position w:val="-1"/>
      <w:sz w:val="23"/>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DFK4krTfRzVDCMGIzp3Yq0qW+w==">AMUW2mXZ8x2NWfZnnCoKAYpto+tYERMEm1Tdt+ujKmG+ci8k3Y7L/dZQS7+3GcC9tZRR+rERBbafin0D7txNnMJqE/87IBBVFu3lRaQDJ8bWr/8ndi2vvFg=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2018-06-03T13:07:00Z</dcterms:created>
  <dc:creator>DAS Development Fund</dc:creator>
</cp:coreProperties>
</file>